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DA7D71" w:rsidTr="00DA7D71">
        <w:tc>
          <w:tcPr>
            <w:tcW w:w="4613" w:type="dxa"/>
          </w:tcPr>
          <w:p w:rsidR="00DA7D71" w:rsidRDefault="00DA7D71" w:rsidP="00DA7D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Додаток №1</w:t>
            </w:r>
          </w:p>
          <w:p w:rsidR="00DA7D71" w:rsidRDefault="00DA7D71" w:rsidP="00DA7D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наказу Житомирського окружного  адміністративного суду від 11.07.2017 №</w:t>
            </w:r>
            <w:r w:rsidR="00454F90">
              <w:rPr>
                <w:sz w:val="24"/>
                <w:szCs w:val="24"/>
                <w:lang w:val="uk-UA"/>
              </w:rPr>
              <w:t>02-70-ОС</w:t>
            </w:r>
          </w:p>
        </w:tc>
      </w:tr>
    </w:tbl>
    <w:p w:rsidR="00B54CDB" w:rsidRDefault="00B54CDB" w:rsidP="00B54C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54CDB" w:rsidRDefault="00B54CDB" w:rsidP="00B54C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УМОВИ</w:t>
      </w:r>
    </w:p>
    <w:p w:rsidR="00B54CDB" w:rsidRDefault="00B54CDB" w:rsidP="00B54C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конкурсу на зайняття посади державної служби категорії В  – головного спеціаліста відділу управління персоналом Житомирського окружного адміністративного суду( м. Житомир)</w:t>
      </w:r>
    </w:p>
    <w:p w:rsidR="00B54CDB" w:rsidRDefault="00B54CDB" w:rsidP="00B54C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Житомирської області </w:t>
      </w:r>
    </w:p>
    <w:p w:rsidR="00B54CDB" w:rsidRDefault="00B54CDB" w:rsidP="00B54C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( 1 посада )</w:t>
      </w:r>
    </w:p>
    <w:tbl>
      <w:tblPr>
        <w:tblStyle w:val="a6"/>
        <w:tblW w:w="15408" w:type="dxa"/>
        <w:tblLook w:val="01E0"/>
      </w:tblPr>
      <w:tblGrid>
        <w:gridCol w:w="468"/>
        <w:gridCol w:w="6303"/>
        <w:gridCol w:w="8637"/>
      </w:tblGrid>
      <w:tr w:rsidR="00B54CDB" w:rsidTr="00B54CDB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center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Загальні умови</w:t>
            </w:r>
          </w:p>
        </w:tc>
      </w:tr>
      <w:tr w:rsidR="00B54CDB" w:rsidRPr="00454F90" w:rsidTr="00DA7D71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 w:rsidP="00B54CDB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54CDB">
              <w:rPr>
                <w:sz w:val="22"/>
                <w:szCs w:val="22"/>
                <w:lang w:val="uk-UA"/>
              </w:rPr>
              <w:t>Організовує впровадження в роботі суду комп'ютерних технологій: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54CDB">
              <w:rPr>
                <w:sz w:val="22"/>
                <w:szCs w:val="22"/>
                <w:lang w:val="uk-UA"/>
              </w:rPr>
              <w:t xml:space="preserve">Забезпечує введення в експлуатацію, встановлення, обслуговування комп’ютерної техніки, периферійного обладнання та оргтехніки, що експлуатуються в </w:t>
            </w:r>
            <w:proofErr w:type="spellStart"/>
            <w:r w:rsidRPr="00B54CDB">
              <w:rPr>
                <w:sz w:val="22"/>
                <w:szCs w:val="22"/>
                <w:lang w:val="uk-UA"/>
              </w:rPr>
              <w:t>суді.Організовує</w:t>
            </w:r>
            <w:proofErr w:type="spellEnd"/>
            <w:r w:rsidRPr="00B54CDB">
              <w:rPr>
                <w:sz w:val="22"/>
                <w:szCs w:val="22"/>
                <w:lang w:val="uk-UA"/>
              </w:rPr>
              <w:t xml:space="preserve"> проведення робіт щодо інсталяції програмного забезпечення.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54CDB">
              <w:rPr>
                <w:sz w:val="22"/>
                <w:szCs w:val="22"/>
                <w:lang w:val="uk-UA"/>
              </w:rPr>
              <w:t>Здійснює обслуговування та моні</w:t>
            </w:r>
            <w:proofErr w:type="spellStart"/>
            <w:r w:rsidRPr="00B54CDB">
              <w:rPr>
                <w:sz w:val="22"/>
                <w:szCs w:val="22"/>
              </w:rPr>
              <w:t>торинг</w:t>
            </w:r>
            <w:proofErr w:type="spellEnd"/>
            <w:r w:rsidRPr="00B54CDB">
              <w:rPr>
                <w:sz w:val="22"/>
                <w:szCs w:val="22"/>
              </w:rPr>
              <w:t xml:space="preserve"> </w:t>
            </w:r>
            <w:proofErr w:type="spellStart"/>
            <w:r w:rsidRPr="00B54CDB">
              <w:rPr>
                <w:sz w:val="22"/>
                <w:szCs w:val="22"/>
              </w:rPr>
              <w:t>працездатності</w:t>
            </w:r>
            <w:proofErr w:type="spellEnd"/>
            <w:r w:rsidRPr="00B54CDB">
              <w:rPr>
                <w:sz w:val="22"/>
                <w:szCs w:val="22"/>
              </w:rPr>
              <w:t xml:space="preserve"> </w:t>
            </w:r>
            <w:proofErr w:type="spellStart"/>
            <w:r w:rsidRPr="00B54CDB">
              <w:rPr>
                <w:sz w:val="22"/>
                <w:szCs w:val="22"/>
              </w:rPr>
              <w:t>програмного</w:t>
            </w:r>
            <w:proofErr w:type="spellEnd"/>
            <w:r w:rsidRPr="00B54CDB">
              <w:rPr>
                <w:sz w:val="22"/>
                <w:szCs w:val="22"/>
              </w:rPr>
              <w:t xml:space="preserve"> </w:t>
            </w:r>
            <w:proofErr w:type="spellStart"/>
            <w:r w:rsidRPr="00B54CDB">
              <w:rPr>
                <w:sz w:val="22"/>
                <w:szCs w:val="22"/>
              </w:rPr>
              <w:t>забезпечення</w:t>
            </w:r>
            <w:proofErr w:type="spellEnd"/>
            <w:r w:rsidRPr="00B54CDB">
              <w:rPr>
                <w:sz w:val="22"/>
                <w:szCs w:val="22"/>
              </w:rPr>
              <w:t xml:space="preserve"> та мережного </w:t>
            </w:r>
            <w:proofErr w:type="spellStart"/>
            <w:r w:rsidRPr="00B54CDB">
              <w:rPr>
                <w:sz w:val="22"/>
                <w:szCs w:val="22"/>
              </w:rPr>
              <w:t>обладнання</w:t>
            </w:r>
            <w:proofErr w:type="spellEnd"/>
            <w:r w:rsidRPr="00B54CDB">
              <w:rPr>
                <w:sz w:val="22"/>
                <w:szCs w:val="22"/>
              </w:rPr>
              <w:t xml:space="preserve"> </w:t>
            </w:r>
            <w:proofErr w:type="spellStart"/>
            <w:r w:rsidRPr="00B54CDB">
              <w:rPr>
                <w:sz w:val="22"/>
                <w:szCs w:val="22"/>
              </w:rPr>
              <w:t>комп’ютерної</w:t>
            </w:r>
            <w:proofErr w:type="spellEnd"/>
            <w:r w:rsidRPr="00B54CDB">
              <w:rPr>
                <w:sz w:val="22"/>
                <w:szCs w:val="22"/>
              </w:rPr>
              <w:t xml:space="preserve"> </w:t>
            </w:r>
            <w:proofErr w:type="spellStart"/>
            <w:r w:rsidRPr="00B54CDB">
              <w:rPr>
                <w:sz w:val="22"/>
                <w:szCs w:val="22"/>
              </w:rPr>
              <w:t>мережі</w:t>
            </w:r>
            <w:proofErr w:type="spellEnd"/>
            <w:r w:rsidRPr="00B54C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54CDB">
              <w:rPr>
                <w:sz w:val="22"/>
                <w:szCs w:val="22"/>
                <w:lang w:val="uk-UA"/>
              </w:rPr>
              <w:t>Забезпечує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комп'ютерної мережі, адміністрування контролера домену та серверів комп'ютерної мережі.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54CDB">
              <w:rPr>
                <w:sz w:val="22"/>
                <w:szCs w:val="22"/>
                <w:lang w:val="uk-UA"/>
              </w:rPr>
              <w:t>Здійснює моніторинг дотримання технології експлуатації програмного забезпечення та використання антивірусного захисту локальної комп’ютерної мережі.</w:t>
            </w:r>
          </w:p>
        </w:tc>
      </w:tr>
      <w:tr w:rsidR="00B54CDB" w:rsidTr="00DA7D71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Умови оплати праці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посадовий оклад – 3801 грн.,</w:t>
            </w:r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надбавка за ранг, надбавка за вислугу років відповідно до постанови Кабінету Міністрів України від 6 квітня 2016 року № 292</w:t>
            </w:r>
          </w:p>
        </w:tc>
      </w:tr>
      <w:tr w:rsidR="00B54CDB" w:rsidTr="00DA7D71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Безстрокове призначення</w:t>
            </w:r>
          </w:p>
        </w:tc>
      </w:tr>
      <w:tr w:rsidR="00B54CDB" w:rsidTr="00DA7D71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1. Копія паспорта громадянина України.</w:t>
            </w:r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2. Письмова заява про участь у конкурсі із зазначенням основних мотивів щодо зайняття посади державної служби </w:t>
            </w:r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lastRenderedPageBreak/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4. Копії документів про освіту.</w:t>
            </w:r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5. Заповнена особова картка встановленого зразка.</w:t>
            </w:r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6. Декларація особи, уповноваженої на виконання функцій держави або місцевого самоврядування, за 2016 рік.</w:t>
            </w:r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7. Атестат щодо вільного володіння державною мовою.</w:t>
            </w:r>
            <w:bookmarkStart w:id="0" w:name="_GoBack"/>
            <w:bookmarkEnd w:id="0"/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Документи приймаються до 17 </w:t>
            </w:r>
            <w:proofErr w:type="spellStart"/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год</w:t>
            </w:r>
            <w:proofErr w:type="spellEnd"/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 00 </w:t>
            </w:r>
            <w:proofErr w:type="spellStart"/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хв</w:t>
            </w:r>
            <w:proofErr w:type="spellEnd"/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  </w:t>
            </w:r>
            <w:r w:rsidR="00204548">
              <w:rPr>
                <w:rFonts w:eastAsiaTheme="minorEastAsia"/>
                <w:sz w:val="23"/>
                <w:szCs w:val="23"/>
                <w:lang w:val="uk-UA" w:eastAsia="ru-RU"/>
              </w:rPr>
              <w:t>26</w:t>
            </w:r>
            <w:r w:rsidR="00FD62CB">
              <w:rPr>
                <w:rFonts w:eastAsiaTheme="minorEastAsia"/>
                <w:sz w:val="23"/>
                <w:szCs w:val="23"/>
                <w:lang w:val="uk-UA" w:eastAsia="ru-RU"/>
              </w:rPr>
              <w:t xml:space="preserve"> липня</w:t>
            </w:r>
            <w:r>
              <w:rPr>
                <w:rFonts w:eastAsiaTheme="minorEastAsia"/>
                <w:sz w:val="23"/>
                <w:szCs w:val="23"/>
                <w:lang w:val="uk-UA" w:eastAsia="ru-RU"/>
              </w:rPr>
              <w:t xml:space="preserve"> 2017</w:t>
            </w: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 року.</w:t>
            </w:r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</w:p>
        </w:tc>
      </w:tr>
      <w:tr w:rsidR="00B54CDB" w:rsidTr="00DA7D71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lastRenderedPageBreak/>
              <w:t>Дата, час і місце проведення конкурсу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з </w:t>
            </w:r>
            <w:r w:rsidR="00204548"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1 та 2 серпня</w:t>
            </w: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 2017 року за адресами:</w:t>
            </w:r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тестування – м. Житомир, </w:t>
            </w:r>
            <w:proofErr w:type="spellStart"/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вул.Мала</w:t>
            </w:r>
            <w:proofErr w:type="spellEnd"/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 Бердичівська,23</w:t>
            </w:r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співбесіда – м. Житомир, </w:t>
            </w:r>
            <w:proofErr w:type="spellStart"/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вул.Мала</w:t>
            </w:r>
            <w:proofErr w:type="spellEnd"/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 Бердичівська,</w:t>
            </w:r>
            <w:r w:rsidR="00AE2B9C"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 </w:t>
            </w: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23</w:t>
            </w:r>
          </w:p>
        </w:tc>
      </w:tr>
      <w:tr w:rsidR="00B54CDB" w:rsidTr="00DA7D71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Прізвище, ім’я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DA7D7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proofErr w:type="spellStart"/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Стралківська</w:t>
            </w:r>
            <w:proofErr w:type="spellEnd"/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 Катерина Петрівна</w:t>
            </w:r>
            <w:r w:rsidR="00B54CDB"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 </w:t>
            </w:r>
          </w:p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(0412) 42-25-09, </w:t>
            </w:r>
            <w:hyperlink r:id="rId4" w:history="1">
              <w:r>
                <w:rPr>
                  <w:rStyle w:val="a7"/>
                  <w:rFonts w:eastAsiaTheme="minorEastAsia"/>
                  <w:color w:val="4D76F7"/>
                  <w:sz w:val="21"/>
                  <w:szCs w:val="21"/>
                  <w:lang w:eastAsia="ru-RU"/>
                </w:rPr>
                <w:t>inbox</w:t>
              </w:r>
              <w:r>
                <w:rPr>
                  <w:rStyle w:val="a7"/>
                  <w:rFonts w:eastAsiaTheme="minorEastAsia"/>
                  <w:color w:val="4D76F7"/>
                  <w:sz w:val="21"/>
                  <w:szCs w:val="21"/>
                  <w:lang w:val="uk-UA" w:eastAsia="ru-RU"/>
                </w:rPr>
                <w:t>@</w:t>
              </w:r>
              <w:r>
                <w:rPr>
                  <w:rStyle w:val="a7"/>
                  <w:rFonts w:eastAsiaTheme="minorEastAsia"/>
                  <w:color w:val="4D76F7"/>
                  <w:sz w:val="21"/>
                  <w:szCs w:val="21"/>
                  <w:lang w:eastAsia="ru-RU"/>
                </w:rPr>
                <w:t>adm</w:t>
              </w:r>
              <w:r>
                <w:rPr>
                  <w:rStyle w:val="a7"/>
                  <w:rFonts w:eastAsiaTheme="minorEastAsia"/>
                  <w:color w:val="4D76F7"/>
                  <w:sz w:val="21"/>
                  <w:szCs w:val="21"/>
                  <w:lang w:val="uk-UA" w:eastAsia="ru-RU"/>
                </w:rPr>
                <w:t>.</w:t>
              </w:r>
              <w:r>
                <w:rPr>
                  <w:rStyle w:val="a7"/>
                  <w:rFonts w:eastAsiaTheme="minorEastAsia"/>
                  <w:color w:val="4D76F7"/>
                  <w:sz w:val="21"/>
                  <w:szCs w:val="21"/>
                  <w:lang w:eastAsia="ru-RU"/>
                </w:rPr>
                <w:t>zt</w:t>
              </w:r>
              <w:r>
                <w:rPr>
                  <w:rStyle w:val="a7"/>
                  <w:rFonts w:eastAsiaTheme="minorEastAsia"/>
                  <w:color w:val="4D76F7"/>
                  <w:sz w:val="21"/>
                  <w:szCs w:val="21"/>
                  <w:lang w:val="uk-UA" w:eastAsia="ru-RU"/>
                </w:rPr>
                <w:t>.</w:t>
              </w:r>
              <w:r>
                <w:rPr>
                  <w:rStyle w:val="a7"/>
                  <w:rFonts w:eastAsiaTheme="minorEastAsia"/>
                  <w:color w:val="4D76F7"/>
                  <w:sz w:val="21"/>
                  <w:szCs w:val="21"/>
                  <w:lang w:eastAsia="ru-RU"/>
                </w:rPr>
                <w:t>court</w:t>
              </w:r>
              <w:r>
                <w:rPr>
                  <w:rStyle w:val="a7"/>
                  <w:rFonts w:eastAsiaTheme="minorEastAsia"/>
                  <w:color w:val="4D76F7"/>
                  <w:sz w:val="21"/>
                  <w:szCs w:val="21"/>
                  <w:lang w:val="uk-UA" w:eastAsia="ru-RU"/>
                </w:rPr>
                <w:t>.</w:t>
              </w:r>
              <w:r>
                <w:rPr>
                  <w:rStyle w:val="a7"/>
                  <w:rFonts w:eastAsiaTheme="minorEastAsia"/>
                  <w:color w:val="4D76F7"/>
                  <w:sz w:val="21"/>
                  <w:szCs w:val="21"/>
                  <w:lang w:eastAsia="ru-RU"/>
                </w:rPr>
                <w:t>gov</w:t>
              </w:r>
              <w:r>
                <w:rPr>
                  <w:rStyle w:val="a7"/>
                  <w:rFonts w:eastAsiaTheme="minorEastAsia"/>
                  <w:color w:val="4D76F7"/>
                  <w:sz w:val="21"/>
                  <w:szCs w:val="21"/>
                  <w:lang w:val="uk-UA" w:eastAsia="ru-RU"/>
                </w:rPr>
                <w:t>.</w:t>
              </w:r>
              <w:proofErr w:type="spellStart"/>
              <w:r>
                <w:rPr>
                  <w:rStyle w:val="a7"/>
                  <w:rFonts w:eastAsiaTheme="minorEastAsia"/>
                  <w:color w:val="4D76F7"/>
                  <w:sz w:val="21"/>
                  <w:szCs w:val="21"/>
                  <w:lang w:eastAsia="ru-RU"/>
                </w:rPr>
                <w:t>ua</w:t>
              </w:r>
              <w:proofErr w:type="spellEnd"/>
            </w:hyperlink>
          </w:p>
        </w:tc>
      </w:tr>
      <w:tr w:rsidR="00B54CDB" w:rsidTr="00B54CDB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Вимоги до професійної компетентності</w:t>
            </w:r>
          </w:p>
        </w:tc>
      </w:tr>
      <w:tr w:rsidR="00B54CDB" w:rsidTr="00B54CDB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DB" w:rsidRDefault="00B54CDB">
            <w:pPr>
              <w:jc w:val="center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Загальні вимоги</w:t>
            </w:r>
          </w:p>
        </w:tc>
      </w:tr>
      <w:tr w:rsidR="00B54CDB" w:rsidTr="00DA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Освіта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sz w:val="23"/>
                <w:szCs w:val="23"/>
                <w:lang w:val="uk-UA" w:eastAsia="ru-RU"/>
              </w:rPr>
              <w:t>Вища, ступеня молодший бакалавр або бакалавр</w:t>
            </w:r>
          </w:p>
        </w:tc>
      </w:tr>
      <w:tr w:rsidR="00B54CDB" w:rsidTr="00DA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Досвід роботи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B" w:rsidRDefault="0066038A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 w:rsidRPr="00F647B5">
              <w:rPr>
                <w:color w:val="000000"/>
                <w:sz w:val="23"/>
                <w:szCs w:val="23"/>
              </w:rPr>
              <w:t xml:space="preserve">без </w:t>
            </w:r>
            <w:proofErr w:type="spellStart"/>
            <w:r w:rsidRPr="00F647B5">
              <w:rPr>
                <w:color w:val="000000"/>
                <w:sz w:val="23"/>
                <w:szCs w:val="23"/>
              </w:rPr>
              <w:t>вимог</w:t>
            </w:r>
            <w:proofErr w:type="spellEnd"/>
            <w:r w:rsidRPr="00F647B5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647B5">
              <w:rPr>
                <w:color w:val="000000"/>
                <w:sz w:val="23"/>
                <w:szCs w:val="23"/>
              </w:rPr>
              <w:t>щодо</w:t>
            </w:r>
            <w:proofErr w:type="spellEnd"/>
            <w:r w:rsidRPr="00F647B5">
              <w:rPr>
                <w:color w:val="000000"/>
                <w:sz w:val="23"/>
                <w:szCs w:val="23"/>
              </w:rPr>
              <w:t xml:space="preserve"> стажу</w:t>
            </w:r>
          </w:p>
        </w:tc>
      </w:tr>
      <w:tr w:rsidR="00B54CDB" w:rsidTr="00DA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Володіння державною мовою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вільне володіння державною мовою</w:t>
            </w:r>
          </w:p>
        </w:tc>
      </w:tr>
      <w:tr w:rsidR="00B54CDB" w:rsidTr="00B54CDB">
        <w:tc>
          <w:tcPr>
            <w:tcW w:w="1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DB" w:rsidRDefault="00B54CDB">
            <w:pPr>
              <w:jc w:val="center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Спеціальні вимоги</w:t>
            </w:r>
          </w:p>
        </w:tc>
      </w:tr>
      <w:tr w:rsidR="00B54CDB" w:rsidTr="00DA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Освіта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F01F51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Інформаційно-технічного</w:t>
            </w:r>
            <w:r w:rsidR="00B54CDB"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 xml:space="preserve">  спрямування</w:t>
            </w:r>
          </w:p>
        </w:tc>
      </w:tr>
      <w:tr w:rsidR="00B54CDB" w:rsidRPr="00454F90" w:rsidTr="00DA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Знання законодавства</w:t>
            </w:r>
          </w:p>
          <w:p w:rsidR="006144F4" w:rsidRPr="006144F4" w:rsidRDefault="006144F4" w:rsidP="006144F4">
            <w:pPr>
              <w:jc w:val="both"/>
              <w:rPr>
                <w:rFonts w:eastAsiaTheme="minorEastAsia"/>
                <w:color w:val="000000"/>
                <w:lang w:val="uk-UA" w:eastAsia="ru-RU"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Pr="00DA7D71" w:rsidRDefault="00B54CDB">
            <w:pPr>
              <w:widowControl w:val="0"/>
              <w:tabs>
                <w:tab w:val="left" w:pos="0"/>
              </w:tabs>
              <w:jc w:val="both"/>
              <w:rPr>
                <w:sz w:val="23"/>
                <w:szCs w:val="23"/>
                <w:lang w:val="uk-UA" w:eastAsia="ru-RU"/>
              </w:rPr>
            </w:pPr>
            <w:r w:rsidRPr="00DA7D71">
              <w:rPr>
                <w:sz w:val="23"/>
                <w:szCs w:val="23"/>
                <w:lang w:val="uk-UA" w:eastAsia="ru-RU"/>
              </w:rPr>
              <w:t>1) Конституція України;</w:t>
            </w:r>
          </w:p>
          <w:p w:rsidR="00B54CDB" w:rsidRPr="00DA7D71" w:rsidRDefault="00B54CDB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sz w:val="23"/>
                <w:szCs w:val="23"/>
                <w:lang w:val="uk-UA" w:eastAsia="ru-RU"/>
              </w:rPr>
            </w:pPr>
            <w:r w:rsidRPr="00DA7D71">
              <w:rPr>
                <w:sz w:val="23"/>
                <w:szCs w:val="23"/>
                <w:lang w:val="uk-UA" w:eastAsia="ru-RU"/>
              </w:rPr>
              <w:t>2) Закон України «Про державну службу»;</w:t>
            </w:r>
          </w:p>
          <w:p w:rsidR="00B54CDB" w:rsidRPr="00DA7D71" w:rsidRDefault="00B54CDB">
            <w:pPr>
              <w:jc w:val="both"/>
              <w:rPr>
                <w:sz w:val="23"/>
                <w:szCs w:val="23"/>
                <w:lang w:val="uk-UA" w:eastAsia="ru-RU"/>
              </w:rPr>
            </w:pPr>
            <w:r w:rsidRPr="00DA7D71">
              <w:rPr>
                <w:sz w:val="23"/>
                <w:szCs w:val="23"/>
                <w:lang w:val="uk-UA" w:eastAsia="ru-RU"/>
              </w:rPr>
              <w:t xml:space="preserve">3) Закон України </w:t>
            </w:r>
            <w:r w:rsidRPr="00DA7D71">
              <w:rPr>
                <w:color w:val="000000"/>
                <w:sz w:val="23"/>
                <w:szCs w:val="23"/>
                <w:lang w:val="uk-UA" w:eastAsia="ru-RU"/>
              </w:rPr>
              <w:t>«Про запобігання корупції»</w:t>
            </w:r>
            <w:r w:rsidRPr="00DA7D71">
              <w:rPr>
                <w:sz w:val="23"/>
                <w:szCs w:val="23"/>
                <w:lang w:val="uk-UA" w:eastAsia="ru-RU"/>
              </w:rPr>
              <w:t>;</w:t>
            </w:r>
          </w:p>
          <w:p w:rsidR="00B54CDB" w:rsidRPr="00DA7D71" w:rsidRDefault="00B54CDB">
            <w:pPr>
              <w:jc w:val="both"/>
              <w:rPr>
                <w:color w:val="000000"/>
                <w:sz w:val="23"/>
                <w:szCs w:val="23"/>
                <w:lang w:val="uk-UA" w:eastAsia="ru-RU"/>
              </w:rPr>
            </w:pPr>
            <w:r w:rsidRPr="00DA7D71">
              <w:rPr>
                <w:color w:val="000000"/>
                <w:sz w:val="23"/>
                <w:szCs w:val="23"/>
                <w:lang w:val="uk-UA" w:eastAsia="ru-RU"/>
              </w:rPr>
              <w:t>4) Закон України «Про доступ до публічної інформації»;</w:t>
            </w:r>
          </w:p>
          <w:p w:rsidR="00B54CDB" w:rsidRPr="00DA7D71" w:rsidRDefault="001A420A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color w:val="000000"/>
                <w:sz w:val="23"/>
                <w:szCs w:val="23"/>
                <w:lang w:val="uk-UA" w:eastAsia="ru-RU"/>
              </w:rPr>
            </w:pPr>
            <w:r w:rsidRPr="00DA7D71">
              <w:rPr>
                <w:color w:val="000000"/>
                <w:sz w:val="23"/>
                <w:szCs w:val="23"/>
                <w:lang w:val="uk-UA" w:eastAsia="ru-RU"/>
              </w:rPr>
              <w:t>5</w:t>
            </w:r>
            <w:r w:rsidR="00B54CDB" w:rsidRPr="00DA7D71">
              <w:rPr>
                <w:color w:val="000000"/>
                <w:sz w:val="23"/>
                <w:szCs w:val="23"/>
                <w:lang w:val="uk-UA" w:eastAsia="ru-RU"/>
              </w:rPr>
              <w:t>) Кодекс законів про працю України;</w:t>
            </w:r>
          </w:p>
          <w:p w:rsidR="00B54CDB" w:rsidRPr="00DA7D71" w:rsidRDefault="001A420A">
            <w:pPr>
              <w:jc w:val="both"/>
              <w:rPr>
                <w:rFonts w:eastAsiaTheme="minorEastAsia"/>
                <w:sz w:val="23"/>
                <w:szCs w:val="23"/>
                <w:lang w:val="uk-UA" w:eastAsia="ru-RU"/>
              </w:rPr>
            </w:pPr>
            <w:r w:rsidRPr="00DA7D71">
              <w:rPr>
                <w:color w:val="000000"/>
                <w:sz w:val="23"/>
                <w:szCs w:val="23"/>
                <w:lang w:val="uk-UA" w:eastAsia="ru-RU"/>
              </w:rPr>
              <w:t>6</w:t>
            </w:r>
            <w:r w:rsidR="00B54CDB" w:rsidRPr="00DA7D71">
              <w:rPr>
                <w:color w:val="000000"/>
                <w:sz w:val="23"/>
                <w:szCs w:val="23"/>
                <w:lang w:val="uk-UA" w:eastAsia="ru-RU"/>
              </w:rPr>
              <w:t xml:space="preserve">) Акти Президента України та Кабінету Міністрів України, накази Мінфіну, інші нормативно-правові акти, </w:t>
            </w:r>
            <w:r w:rsidR="006144F4" w:rsidRPr="00DA7D71">
              <w:rPr>
                <w:sz w:val="23"/>
                <w:szCs w:val="23"/>
                <w:lang w:val="uk-UA"/>
              </w:rPr>
              <w:t>що регламентують діяльність судових органів та регулюють питання організації та здійснення організаційно-технічного забезпечення діяльності судової системи</w:t>
            </w:r>
          </w:p>
        </w:tc>
      </w:tr>
      <w:tr w:rsidR="00B54CDB" w:rsidRPr="00454F90" w:rsidTr="00DA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Професійні чи технічні знання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Pr="00DA7D71" w:rsidRDefault="00B54CDB">
            <w:pPr>
              <w:jc w:val="both"/>
              <w:rPr>
                <w:rFonts w:eastAsiaTheme="minorEastAsia"/>
                <w:sz w:val="23"/>
                <w:szCs w:val="23"/>
                <w:lang w:val="uk-UA" w:eastAsia="ru-RU"/>
              </w:rPr>
            </w:pPr>
            <w:r w:rsidRPr="00DA7D71">
              <w:rPr>
                <w:sz w:val="23"/>
                <w:szCs w:val="23"/>
                <w:lang w:val="uk-UA" w:eastAsia="ru-RU"/>
              </w:rPr>
              <w:t xml:space="preserve">Знання законів, інших актів законодавства з питань </w:t>
            </w:r>
            <w:r w:rsidR="001A420A" w:rsidRPr="00DA7D71">
              <w:rPr>
                <w:sz w:val="23"/>
                <w:szCs w:val="23"/>
                <w:lang w:val="uk-UA"/>
              </w:rPr>
              <w:t xml:space="preserve">питання організації та </w:t>
            </w:r>
            <w:r w:rsidR="001A420A" w:rsidRPr="00DA7D71">
              <w:rPr>
                <w:sz w:val="23"/>
                <w:szCs w:val="23"/>
                <w:lang w:val="uk-UA"/>
              </w:rPr>
              <w:lastRenderedPageBreak/>
              <w:t>здійснення організаційно-технічного забезпечення діяльності судової системи</w:t>
            </w:r>
          </w:p>
        </w:tc>
      </w:tr>
      <w:tr w:rsidR="00B54CDB" w:rsidTr="00DA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lastRenderedPageBreak/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Спеціальний досвід роботи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B" w:rsidRPr="00F647B5" w:rsidRDefault="00F647B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F647B5">
              <w:rPr>
                <w:rFonts w:ascii="Times New Roman" w:hAnsi="Times New Roman"/>
                <w:color w:val="000000"/>
                <w:sz w:val="23"/>
                <w:szCs w:val="23"/>
              </w:rPr>
              <w:t>без вимог щодо стажу</w:t>
            </w:r>
          </w:p>
        </w:tc>
      </w:tr>
      <w:tr w:rsidR="00B54CDB" w:rsidRPr="00454F90" w:rsidTr="00DA7D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sz w:val="23"/>
                <w:szCs w:val="23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 w:rsidP="00DA7D71">
            <w:pPr>
              <w:jc w:val="both"/>
              <w:rPr>
                <w:rFonts w:eastAsiaTheme="minorEastAsia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sz w:val="23"/>
                <w:szCs w:val="23"/>
                <w:lang w:val="uk-UA" w:eastAsia="ru-RU"/>
              </w:rPr>
              <w:t>вміння використовувати комп'ютерне обладнання та програмне забезпечення, використовувати офісну техніку, впевнений користувач ПК (MS Office, Outlook Express, Internet)</w:t>
            </w:r>
            <w:r w:rsidR="00C06FD4">
              <w:rPr>
                <w:rFonts w:eastAsiaTheme="minorEastAsia"/>
                <w:sz w:val="23"/>
                <w:szCs w:val="23"/>
                <w:lang w:val="uk-UA" w:eastAsia="ru-RU"/>
              </w:rPr>
              <w:t xml:space="preserve">, </w:t>
            </w:r>
            <w:r w:rsidR="00563D56">
              <w:rPr>
                <w:rFonts w:eastAsiaTheme="minorEastAsia"/>
                <w:sz w:val="23"/>
                <w:szCs w:val="23"/>
                <w:lang w:val="uk-UA" w:eastAsia="ru-RU"/>
              </w:rPr>
              <w:t>діловодство спеціалізованого суду (ДСС)</w:t>
            </w:r>
          </w:p>
        </w:tc>
      </w:tr>
      <w:tr w:rsidR="00B54CDB" w:rsidTr="00DA7D71">
        <w:trPr>
          <w:trHeight w:val="6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Особистісні якості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B" w:rsidRDefault="00B54CDB">
            <w:pPr>
              <w:jc w:val="both"/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eastAsiaTheme="minorEastAsia"/>
                <w:color w:val="000000"/>
                <w:sz w:val="23"/>
                <w:szCs w:val="23"/>
                <w:lang w:val="uk-UA" w:eastAsia="ru-RU"/>
              </w:rPr>
              <w:t>відповідальність; уважність до деталей; орієнтація на обслуговування; вміння працювати в стресових ситуаціях</w:t>
            </w:r>
          </w:p>
        </w:tc>
      </w:tr>
    </w:tbl>
    <w:p w:rsidR="00B54CDB" w:rsidRDefault="00B54CDB" w:rsidP="00B54CDB">
      <w:pPr>
        <w:rPr>
          <w:rFonts w:eastAsiaTheme="minorHAnsi"/>
          <w:lang w:eastAsia="en-US"/>
        </w:rPr>
      </w:pPr>
    </w:p>
    <w:p w:rsidR="00B54CDB" w:rsidRDefault="00B54CDB"/>
    <w:sectPr w:rsidR="00B54CDB" w:rsidSect="00B54C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CDB"/>
    <w:rsid w:val="001A420A"/>
    <w:rsid w:val="00204548"/>
    <w:rsid w:val="00273989"/>
    <w:rsid w:val="003A6056"/>
    <w:rsid w:val="00454F90"/>
    <w:rsid w:val="00563D56"/>
    <w:rsid w:val="006144F4"/>
    <w:rsid w:val="0066038A"/>
    <w:rsid w:val="00AE2B9C"/>
    <w:rsid w:val="00B54CDB"/>
    <w:rsid w:val="00C06FD4"/>
    <w:rsid w:val="00DA7D71"/>
    <w:rsid w:val="00F01F51"/>
    <w:rsid w:val="00F647B5"/>
    <w:rsid w:val="00F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4C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54CDB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ий текст"/>
    <w:basedOn w:val="a"/>
    <w:rsid w:val="00B54CD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table" w:styleId="a6">
    <w:name w:val="Table Grid"/>
    <w:basedOn w:val="a1"/>
    <w:rsid w:val="00B5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54CDB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B54C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54CDB"/>
  </w:style>
  <w:style w:type="paragraph" w:styleId="2">
    <w:name w:val="Body Text Indent 2"/>
    <w:basedOn w:val="a"/>
    <w:link w:val="20"/>
    <w:rsid w:val="00B54C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4C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adm.zt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2017-07-10T09:17:00Z</dcterms:created>
  <dcterms:modified xsi:type="dcterms:W3CDTF">2017-07-11T05:59:00Z</dcterms:modified>
</cp:coreProperties>
</file>